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C71E8" w14:textId="77777777" w:rsidR="002970B0" w:rsidRPr="002970B0" w:rsidRDefault="002970B0" w:rsidP="002970B0">
      <w:pPr>
        <w:jc w:val="center"/>
        <w:rPr>
          <w:rFonts w:ascii="宋体" w:eastAsia="宋体" w:hAnsi="宋体" w:cs="Times New Roman" w:hint="eastAsia"/>
          <w:b/>
          <w:bCs/>
          <w:sz w:val="52"/>
          <w:szCs w:val="52"/>
        </w:rPr>
      </w:pPr>
      <w:r w:rsidRPr="002970B0">
        <w:rPr>
          <w:rFonts w:ascii="宋体" w:eastAsia="宋体" w:hAnsi="宋体" w:cs="Times New Roman" w:hint="eastAsia"/>
          <w:b/>
          <w:bCs/>
          <w:sz w:val="52"/>
          <w:szCs w:val="52"/>
        </w:rPr>
        <w:t>北京大学第三医院</w:t>
      </w:r>
    </w:p>
    <w:p w14:paraId="5D1AD561" w14:textId="77777777" w:rsidR="002970B0" w:rsidRPr="002970B0" w:rsidRDefault="002970B0" w:rsidP="002970B0">
      <w:pPr>
        <w:jc w:val="center"/>
        <w:rPr>
          <w:rFonts w:ascii="宋体" w:eastAsia="宋体" w:hAnsi="宋体" w:cs="Times New Roman" w:hint="eastAsia"/>
          <w:b/>
          <w:sz w:val="52"/>
          <w:szCs w:val="52"/>
        </w:rPr>
      </w:pPr>
      <w:r w:rsidRPr="002970B0">
        <w:rPr>
          <w:rFonts w:ascii="宋体" w:eastAsia="宋体" w:hAnsi="宋体" w:cs="Times New Roman" w:hint="eastAsia"/>
          <w:b/>
          <w:bCs/>
          <w:sz w:val="52"/>
          <w:szCs w:val="52"/>
        </w:rPr>
        <w:t>2020年度医疗责任保险服务项目</w:t>
      </w:r>
    </w:p>
    <w:p w14:paraId="6978CD11" w14:textId="77777777" w:rsidR="002970B0" w:rsidRPr="002970B0" w:rsidRDefault="002970B0" w:rsidP="002970B0">
      <w:pPr>
        <w:jc w:val="center"/>
        <w:rPr>
          <w:rFonts w:ascii="宋体" w:eastAsia="宋体" w:hAnsi="宋体" w:cs="Times New Roman" w:hint="eastAsia"/>
          <w:b/>
          <w:sz w:val="52"/>
          <w:szCs w:val="52"/>
        </w:rPr>
      </w:pPr>
    </w:p>
    <w:p w14:paraId="32495A67" w14:textId="77777777" w:rsidR="002970B0" w:rsidRDefault="002970B0" w:rsidP="002970B0">
      <w:pPr>
        <w:rPr>
          <w:rFonts w:ascii="宋体" w:eastAsia="宋体" w:hAnsi="宋体" w:cs="Times New Roman"/>
          <w:b/>
          <w:sz w:val="52"/>
          <w:szCs w:val="52"/>
        </w:rPr>
      </w:pPr>
    </w:p>
    <w:p w14:paraId="4100DBBA" w14:textId="6F65DFD8" w:rsidR="002970B0" w:rsidRPr="002970B0" w:rsidRDefault="002970B0" w:rsidP="002970B0">
      <w:pPr>
        <w:jc w:val="center"/>
        <w:rPr>
          <w:rFonts w:ascii="宋体" w:eastAsia="宋体" w:hAnsi="宋体" w:cs="Times New Roman" w:hint="eastAsia"/>
          <w:b/>
          <w:sz w:val="72"/>
          <w:szCs w:val="72"/>
        </w:rPr>
      </w:pPr>
      <w:r w:rsidRPr="002970B0">
        <w:rPr>
          <w:rFonts w:ascii="宋体" w:eastAsia="宋体" w:hAnsi="宋体" w:cs="Times New Roman" w:hint="eastAsia"/>
          <w:b/>
          <w:sz w:val="72"/>
          <w:szCs w:val="72"/>
        </w:rPr>
        <w:t>项</w:t>
      </w:r>
      <w:r w:rsidRPr="002970B0">
        <w:rPr>
          <w:rFonts w:ascii="宋体" w:eastAsia="宋体" w:hAnsi="宋体" w:cs="Times New Roman" w:hint="eastAsia"/>
          <w:b/>
          <w:sz w:val="72"/>
          <w:szCs w:val="72"/>
        </w:rPr>
        <w:t xml:space="preserve"> </w:t>
      </w:r>
      <w:r w:rsidRPr="002970B0">
        <w:rPr>
          <w:rFonts w:ascii="宋体" w:eastAsia="宋体" w:hAnsi="宋体" w:cs="Times New Roman" w:hint="eastAsia"/>
          <w:b/>
          <w:sz w:val="72"/>
          <w:szCs w:val="72"/>
        </w:rPr>
        <w:t>目</w:t>
      </w:r>
      <w:r w:rsidRPr="002970B0">
        <w:rPr>
          <w:rFonts w:ascii="宋体" w:eastAsia="宋体" w:hAnsi="宋体" w:cs="Times New Roman" w:hint="eastAsia"/>
          <w:b/>
          <w:sz w:val="72"/>
          <w:szCs w:val="72"/>
        </w:rPr>
        <w:t xml:space="preserve"> </w:t>
      </w:r>
      <w:r w:rsidRPr="002970B0">
        <w:rPr>
          <w:rFonts w:ascii="宋体" w:eastAsia="宋体" w:hAnsi="宋体" w:cs="Times New Roman" w:hint="eastAsia"/>
          <w:b/>
          <w:sz w:val="72"/>
          <w:szCs w:val="72"/>
        </w:rPr>
        <w:t>需</w:t>
      </w:r>
      <w:r w:rsidRPr="002970B0">
        <w:rPr>
          <w:rFonts w:ascii="宋体" w:eastAsia="宋体" w:hAnsi="宋体" w:cs="Times New Roman" w:hint="eastAsia"/>
          <w:b/>
          <w:sz w:val="72"/>
          <w:szCs w:val="72"/>
        </w:rPr>
        <w:t xml:space="preserve"> </w:t>
      </w:r>
      <w:r w:rsidRPr="002970B0">
        <w:rPr>
          <w:rFonts w:ascii="宋体" w:eastAsia="宋体" w:hAnsi="宋体" w:cs="Times New Roman" w:hint="eastAsia"/>
          <w:b/>
          <w:sz w:val="72"/>
          <w:szCs w:val="72"/>
        </w:rPr>
        <w:t>求</w:t>
      </w:r>
    </w:p>
    <w:p w14:paraId="56FA4852" w14:textId="77777777" w:rsidR="002970B0" w:rsidRPr="002970B0" w:rsidRDefault="002970B0" w:rsidP="002970B0">
      <w:pPr>
        <w:ind w:firstLineChars="1000" w:firstLine="3213"/>
        <w:jc w:val="center"/>
        <w:rPr>
          <w:rFonts w:ascii="宋体" w:eastAsia="宋体" w:hAnsi="宋体" w:cs="Times New Roman" w:hint="eastAsia"/>
          <w:b/>
          <w:sz w:val="32"/>
          <w:szCs w:val="24"/>
        </w:rPr>
      </w:pPr>
    </w:p>
    <w:p w14:paraId="5AB5634E" w14:textId="77777777" w:rsidR="002970B0" w:rsidRPr="002970B0" w:rsidRDefault="002970B0" w:rsidP="002970B0">
      <w:pPr>
        <w:jc w:val="center"/>
        <w:rPr>
          <w:rFonts w:ascii="宋体" w:eastAsia="宋体" w:hAnsi="宋体" w:cs="Times New Roman" w:hint="eastAsia"/>
          <w:b/>
          <w:sz w:val="32"/>
          <w:szCs w:val="24"/>
        </w:rPr>
      </w:pPr>
      <w:r w:rsidRPr="002970B0">
        <w:rPr>
          <w:rFonts w:ascii="宋体" w:eastAsia="宋体" w:hAnsi="宋体" w:cs="Times New Roman" w:hint="eastAsia"/>
          <w:b/>
          <w:sz w:val="32"/>
          <w:szCs w:val="24"/>
        </w:rPr>
        <w:t>招标编号：BIECC-ZB7789</w:t>
      </w:r>
    </w:p>
    <w:p w14:paraId="7BAF884A" w14:textId="77777777" w:rsidR="002970B0" w:rsidRPr="002970B0" w:rsidRDefault="002970B0" w:rsidP="002970B0">
      <w:pPr>
        <w:jc w:val="center"/>
        <w:rPr>
          <w:rFonts w:ascii="宋体" w:eastAsia="宋体" w:hAnsi="宋体" w:cs="Times New Roman" w:hint="eastAsia"/>
          <w:b/>
          <w:sz w:val="52"/>
          <w:szCs w:val="24"/>
        </w:rPr>
      </w:pPr>
    </w:p>
    <w:p w14:paraId="180C80BC" w14:textId="77777777" w:rsidR="002970B0" w:rsidRPr="002970B0" w:rsidRDefault="002970B0" w:rsidP="002970B0">
      <w:pPr>
        <w:jc w:val="center"/>
        <w:rPr>
          <w:rFonts w:ascii="宋体" w:eastAsia="宋体" w:hAnsi="宋体" w:cs="Times New Roman" w:hint="eastAsia"/>
          <w:b/>
          <w:sz w:val="52"/>
          <w:szCs w:val="24"/>
        </w:rPr>
      </w:pPr>
    </w:p>
    <w:p w14:paraId="2AF18C9D" w14:textId="77777777" w:rsidR="002970B0" w:rsidRPr="002970B0" w:rsidRDefault="002970B0" w:rsidP="002970B0">
      <w:pPr>
        <w:jc w:val="center"/>
        <w:rPr>
          <w:rFonts w:ascii="宋体" w:eastAsia="宋体" w:hAnsi="宋体" w:cs="Times New Roman" w:hint="eastAsia"/>
          <w:b/>
          <w:sz w:val="52"/>
          <w:szCs w:val="24"/>
        </w:rPr>
      </w:pPr>
    </w:p>
    <w:p w14:paraId="0FAC3562" w14:textId="77777777" w:rsidR="002970B0" w:rsidRPr="002970B0" w:rsidRDefault="002970B0" w:rsidP="002970B0">
      <w:pPr>
        <w:jc w:val="center"/>
        <w:rPr>
          <w:rFonts w:ascii="宋体" w:eastAsia="宋体" w:hAnsi="宋体" w:cs="Times New Roman" w:hint="eastAsia"/>
          <w:b/>
          <w:sz w:val="52"/>
          <w:szCs w:val="24"/>
        </w:rPr>
      </w:pPr>
    </w:p>
    <w:p w14:paraId="5C88BBFA" w14:textId="315FEAAD" w:rsidR="002970B0" w:rsidRDefault="002970B0" w:rsidP="002970B0">
      <w:pPr>
        <w:jc w:val="center"/>
        <w:rPr>
          <w:rFonts w:ascii="宋体" w:eastAsia="宋体" w:hAnsi="宋体" w:cs="Times New Roman"/>
          <w:b/>
          <w:sz w:val="52"/>
          <w:szCs w:val="24"/>
        </w:rPr>
      </w:pPr>
    </w:p>
    <w:p w14:paraId="47BABF78" w14:textId="77777777" w:rsidR="002970B0" w:rsidRPr="002970B0" w:rsidRDefault="002970B0" w:rsidP="002970B0">
      <w:pPr>
        <w:jc w:val="center"/>
        <w:rPr>
          <w:rFonts w:ascii="宋体" w:eastAsia="宋体" w:hAnsi="宋体" w:cs="Times New Roman" w:hint="eastAsia"/>
          <w:b/>
          <w:sz w:val="52"/>
          <w:szCs w:val="24"/>
        </w:rPr>
      </w:pPr>
    </w:p>
    <w:p w14:paraId="04A05BB0" w14:textId="77777777" w:rsidR="002970B0" w:rsidRPr="002970B0" w:rsidRDefault="002970B0" w:rsidP="002970B0">
      <w:pPr>
        <w:spacing w:line="360" w:lineRule="auto"/>
        <w:jc w:val="center"/>
        <w:rPr>
          <w:rFonts w:ascii="宋体" w:eastAsia="宋体" w:hAnsi="宋体" w:cs="Times New Roman" w:hint="eastAsia"/>
          <w:b/>
          <w:sz w:val="32"/>
          <w:szCs w:val="32"/>
        </w:rPr>
      </w:pPr>
      <w:r w:rsidRPr="002970B0">
        <w:rPr>
          <w:rFonts w:ascii="宋体" w:eastAsia="宋体" w:hAnsi="宋体" w:cs="Times New Roman" w:hint="eastAsia"/>
          <w:b/>
          <w:sz w:val="32"/>
          <w:szCs w:val="32"/>
        </w:rPr>
        <w:t>北京国际工程咨询有限公司</w:t>
      </w:r>
    </w:p>
    <w:p w14:paraId="14BB2523" w14:textId="16EA17B4" w:rsidR="00567346" w:rsidRDefault="002970B0" w:rsidP="002970B0">
      <w:pPr>
        <w:jc w:val="center"/>
      </w:pPr>
      <w:r w:rsidRPr="002970B0">
        <w:rPr>
          <w:rFonts w:ascii="宋体" w:eastAsia="宋体" w:hAnsi="宋体" w:cs="Times New Roman" w:hint="eastAsia"/>
          <w:b/>
          <w:sz w:val="32"/>
          <w:szCs w:val="32"/>
        </w:rPr>
        <w:t>二零一九年十二月</w:t>
      </w:r>
    </w:p>
    <w:p w14:paraId="174CC681" w14:textId="6AE39375" w:rsidR="002970B0" w:rsidRDefault="002970B0">
      <w:r>
        <w:br w:type="page"/>
      </w:r>
    </w:p>
    <w:p w14:paraId="1F5D118A" w14:textId="77777777" w:rsidR="002970B0" w:rsidRPr="002970B0" w:rsidRDefault="002970B0" w:rsidP="002970B0">
      <w:pPr>
        <w:keepNext/>
        <w:keepLines/>
        <w:autoSpaceDE w:val="0"/>
        <w:autoSpaceDN w:val="0"/>
        <w:adjustRightInd w:val="0"/>
        <w:spacing w:before="240" w:after="120" w:line="300" w:lineRule="auto"/>
        <w:jc w:val="center"/>
        <w:outlineLvl w:val="0"/>
        <w:rPr>
          <w:rFonts w:ascii="宋体" w:eastAsia="宋体" w:hAnsi="Calibri" w:cs="Times New Roman" w:hint="eastAsia"/>
          <w:b/>
          <w:kern w:val="44"/>
          <w:sz w:val="32"/>
          <w:szCs w:val="20"/>
        </w:rPr>
      </w:pPr>
      <w:bookmarkStart w:id="0" w:name="_Hlk26538207"/>
      <w:r w:rsidRPr="002970B0">
        <w:rPr>
          <w:rFonts w:ascii="宋体" w:eastAsia="宋体" w:hAnsi="Calibri" w:cs="Times New Roman" w:hint="eastAsia"/>
          <w:b/>
          <w:kern w:val="44"/>
          <w:sz w:val="32"/>
          <w:szCs w:val="20"/>
        </w:rPr>
        <w:lastRenderedPageBreak/>
        <w:t>项目需求</w:t>
      </w:r>
      <w:bookmarkStart w:id="1" w:name="_GoBack"/>
      <w:bookmarkEnd w:id="1"/>
    </w:p>
    <w:bookmarkEnd w:id="0"/>
    <w:p w14:paraId="5076AA8E" w14:textId="77777777" w:rsidR="002970B0" w:rsidRPr="002970B0" w:rsidRDefault="002970B0" w:rsidP="002970B0">
      <w:pPr>
        <w:rPr>
          <w:rFonts w:ascii="宋体" w:eastAsia="宋体" w:hAnsi="宋体" w:cs="Times New Roman" w:hint="eastAsia"/>
          <w:b/>
          <w:sz w:val="24"/>
          <w:szCs w:val="24"/>
        </w:rPr>
      </w:pPr>
      <w:r w:rsidRPr="002970B0">
        <w:rPr>
          <w:rFonts w:ascii="宋体" w:eastAsia="宋体" w:hAnsi="宋体" w:cs="Times New Roman" w:hint="eastAsia"/>
          <w:b/>
          <w:sz w:val="24"/>
          <w:szCs w:val="24"/>
        </w:rPr>
        <w:t>第一节．需求一览表</w:t>
      </w:r>
    </w:p>
    <w:p w14:paraId="7379F81A" w14:textId="77777777" w:rsidR="002970B0" w:rsidRPr="002970B0" w:rsidRDefault="002970B0" w:rsidP="002970B0">
      <w:pPr>
        <w:rPr>
          <w:rFonts w:ascii="宋体" w:eastAsia="宋体" w:hAnsi="宋体" w:cs="Times New Roman" w:hint="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1843"/>
        <w:gridCol w:w="2833"/>
        <w:gridCol w:w="2078"/>
      </w:tblGrid>
      <w:tr w:rsidR="002970B0" w:rsidRPr="002970B0" w14:paraId="3EC78721" w14:textId="77777777" w:rsidTr="00CA2740">
        <w:trPr>
          <w:jc w:val="center"/>
        </w:trPr>
        <w:tc>
          <w:tcPr>
            <w:tcW w:w="994" w:type="dxa"/>
            <w:vAlign w:val="center"/>
          </w:tcPr>
          <w:p w14:paraId="292FFA94" w14:textId="77777777" w:rsidR="002970B0" w:rsidRPr="002970B0" w:rsidRDefault="002970B0" w:rsidP="002970B0">
            <w:pPr>
              <w:widowControl/>
              <w:spacing w:line="360" w:lineRule="auto"/>
              <w:jc w:val="center"/>
              <w:rPr>
                <w:rFonts w:ascii="宋体" w:eastAsia="宋体" w:hAnsi="宋体" w:cs="Arial" w:hint="eastAsia"/>
                <w:b/>
                <w:kern w:val="0"/>
                <w:sz w:val="24"/>
                <w:szCs w:val="21"/>
              </w:rPr>
            </w:pPr>
            <w:proofErr w:type="gramStart"/>
            <w:r w:rsidRPr="002970B0">
              <w:rPr>
                <w:rFonts w:ascii="宋体" w:eastAsia="宋体" w:hAnsi="宋体" w:cs="Arial" w:hint="eastAsia"/>
                <w:b/>
                <w:kern w:val="0"/>
                <w:sz w:val="24"/>
                <w:szCs w:val="21"/>
              </w:rPr>
              <w:t>包号</w:t>
            </w:r>
            <w:proofErr w:type="gramEnd"/>
          </w:p>
        </w:tc>
        <w:tc>
          <w:tcPr>
            <w:tcW w:w="1843" w:type="dxa"/>
            <w:vAlign w:val="center"/>
          </w:tcPr>
          <w:p w14:paraId="30ACC06E" w14:textId="77777777" w:rsidR="002970B0" w:rsidRPr="002970B0" w:rsidRDefault="002970B0" w:rsidP="002970B0">
            <w:pPr>
              <w:widowControl/>
              <w:spacing w:line="360" w:lineRule="auto"/>
              <w:jc w:val="center"/>
              <w:rPr>
                <w:rFonts w:ascii="宋体" w:eastAsia="宋体" w:hAnsi="宋体" w:cs="Arial" w:hint="eastAsia"/>
                <w:kern w:val="0"/>
                <w:sz w:val="24"/>
                <w:szCs w:val="21"/>
              </w:rPr>
            </w:pPr>
            <w:r w:rsidRPr="002970B0">
              <w:rPr>
                <w:rFonts w:ascii="宋体" w:eastAsia="宋体" w:hAnsi="宋体" w:cs="Arial" w:hint="eastAsia"/>
                <w:kern w:val="0"/>
                <w:sz w:val="24"/>
                <w:szCs w:val="21"/>
              </w:rPr>
              <w:t>名称</w:t>
            </w:r>
          </w:p>
        </w:tc>
        <w:tc>
          <w:tcPr>
            <w:tcW w:w="2833" w:type="dxa"/>
            <w:vAlign w:val="center"/>
          </w:tcPr>
          <w:p w14:paraId="6E5F0C6E" w14:textId="77777777" w:rsidR="002970B0" w:rsidRPr="002970B0" w:rsidRDefault="002970B0" w:rsidP="002970B0">
            <w:pPr>
              <w:widowControl/>
              <w:spacing w:line="360" w:lineRule="auto"/>
              <w:jc w:val="center"/>
              <w:rPr>
                <w:rFonts w:ascii="宋体" w:eastAsia="宋体" w:hAnsi="宋体" w:cs="Arial" w:hint="eastAsia"/>
                <w:kern w:val="0"/>
                <w:sz w:val="24"/>
                <w:szCs w:val="21"/>
              </w:rPr>
            </w:pPr>
            <w:r w:rsidRPr="002970B0">
              <w:rPr>
                <w:rFonts w:ascii="宋体" w:eastAsia="宋体" w:hAnsi="宋体" w:cs="Arial" w:hint="eastAsia"/>
                <w:kern w:val="0"/>
                <w:sz w:val="24"/>
                <w:szCs w:val="21"/>
              </w:rPr>
              <w:t>服务时间</w:t>
            </w:r>
          </w:p>
        </w:tc>
        <w:tc>
          <w:tcPr>
            <w:tcW w:w="2078" w:type="dxa"/>
            <w:vAlign w:val="center"/>
          </w:tcPr>
          <w:p w14:paraId="4F6CDB4F" w14:textId="77777777" w:rsidR="002970B0" w:rsidRPr="002970B0" w:rsidRDefault="002970B0" w:rsidP="002970B0">
            <w:pPr>
              <w:widowControl/>
              <w:spacing w:line="360" w:lineRule="auto"/>
              <w:jc w:val="center"/>
              <w:rPr>
                <w:rFonts w:ascii="宋体" w:eastAsia="宋体" w:hAnsi="宋体" w:cs="Arial" w:hint="eastAsia"/>
                <w:kern w:val="0"/>
                <w:sz w:val="24"/>
                <w:szCs w:val="21"/>
              </w:rPr>
            </w:pPr>
            <w:r w:rsidRPr="002970B0">
              <w:rPr>
                <w:rFonts w:ascii="宋体" w:eastAsia="宋体" w:hAnsi="宋体" w:cs="Arial" w:hint="eastAsia"/>
                <w:kern w:val="0"/>
                <w:sz w:val="24"/>
                <w:szCs w:val="21"/>
              </w:rPr>
              <w:t>项目总预算</w:t>
            </w:r>
          </w:p>
          <w:p w14:paraId="1E264F93" w14:textId="77777777" w:rsidR="002970B0" w:rsidRPr="002970B0" w:rsidRDefault="002970B0" w:rsidP="002970B0">
            <w:pPr>
              <w:widowControl/>
              <w:spacing w:line="360" w:lineRule="auto"/>
              <w:jc w:val="center"/>
              <w:rPr>
                <w:rFonts w:ascii="宋体" w:eastAsia="宋体" w:hAnsi="宋体" w:cs="Arial" w:hint="eastAsia"/>
                <w:kern w:val="0"/>
                <w:sz w:val="24"/>
                <w:szCs w:val="21"/>
              </w:rPr>
            </w:pPr>
            <w:r w:rsidRPr="002970B0">
              <w:rPr>
                <w:rFonts w:ascii="宋体" w:eastAsia="宋体" w:hAnsi="宋体" w:cs="Arial" w:hint="eastAsia"/>
                <w:kern w:val="0"/>
                <w:sz w:val="24"/>
                <w:szCs w:val="21"/>
              </w:rPr>
              <w:t>(万元)</w:t>
            </w:r>
          </w:p>
        </w:tc>
      </w:tr>
      <w:tr w:rsidR="002970B0" w:rsidRPr="002970B0" w14:paraId="0F39FDC7" w14:textId="77777777" w:rsidTr="00CA2740">
        <w:trPr>
          <w:trHeight w:val="813"/>
          <w:jc w:val="center"/>
        </w:trPr>
        <w:tc>
          <w:tcPr>
            <w:tcW w:w="994" w:type="dxa"/>
            <w:vAlign w:val="center"/>
          </w:tcPr>
          <w:p w14:paraId="0797D6D5" w14:textId="77777777" w:rsidR="002970B0" w:rsidRPr="002970B0" w:rsidRDefault="002970B0" w:rsidP="002970B0">
            <w:pPr>
              <w:widowControl/>
              <w:spacing w:line="360" w:lineRule="auto"/>
              <w:jc w:val="center"/>
              <w:rPr>
                <w:rFonts w:ascii="宋体" w:eastAsia="宋体" w:hAnsi="宋体" w:cs="Arial" w:hint="eastAsia"/>
                <w:b/>
                <w:kern w:val="0"/>
                <w:sz w:val="24"/>
                <w:szCs w:val="21"/>
              </w:rPr>
            </w:pPr>
            <w:r w:rsidRPr="002970B0">
              <w:rPr>
                <w:rFonts w:ascii="宋体" w:eastAsia="宋体" w:hAnsi="宋体" w:cs="Arial" w:hint="eastAsia"/>
                <w:b/>
                <w:kern w:val="0"/>
                <w:sz w:val="24"/>
                <w:szCs w:val="21"/>
              </w:rPr>
              <w:t>01</w:t>
            </w:r>
          </w:p>
        </w:tc>
        <w:tc>
          <w:tcPr>
            <w:tcW w:w="1843" w:type="dxa"/>
            <w:vAlign w:val="center"/>
          </w:tcPr>
          <w:p w14:paraId="671954AF" w14:textId="77777777" w:rsidR="002970B0" w:rsidRPr="002970B0" w:rsidRDefault="002970B0" w:rsidP="002970B0">
            <w:pPr>
              <w:widowControl/>
              <w:spacing w:line="360" w:lineRule="auto"/>
              <w:jc w:val="center"/>
              <w:rPr>
                <w:rFonts w:ascii="宋体" w:eastAsia="宋体" w:hAnsi="宋体" w:cs="Arial" w:hint="eastAsia"/>
                <w:kern w:val="0"/>
                <w:sz w:val="24"/>
                <w:szCs w:val="21"/>
              </w:rPr>
            </w:pPr>
            <w:r w:rsidRPr="002970B0">
              <w:rPr>
                <w:rFonts w:ascii="宋体" w:eastAsia="宋体" w:hAnsi="宋体" w:cs="Arial" w:hint="eastAsia"/>
                <w:kern w:val="0"/>
                <w:sz w:val="24"/>
                <w:szCs w:val="21"/>
              </w:rPr>
              <w:t>医疗责任保险</w:t>
            </w:r>
          </w:p>
        </w:tc>
        <w:tc>
          <w:tcPr>
            <w:tcW w:w="2833" w:type="dxa"/>
            <w:vAlign w:val="center"/>
          </w:tcPr>
          <w:p w14:paraId="51D2BD54" w14:textId="77777777" w:rsidR="002970B0" w:rsidRPr="002970B0" w:rsidRDefault="002970B0" w:rsidP="002970B0">
            <w:pPr>
              <w:spacing w:line="360" w:lineRule="auto"/>
              <w:jc w:val="center"/>
              <w:rPr>
                <w:rFonts w:ascii="Calibri" w:eastAsia="宋体" w:hAnsi="Calibri" w:cs="Times New Roman" w:hint="eastAsia"/>
                <w:sz w:val="24"/>
                <w:szCs w:val="24"/>
              </w:rPr>
            </w:pPr>
            <w:r w:rsidRPr="002970B0">
              <w:rPr>
                <w:rFonts w:ascii="宋体" w:eastAsia="宋体" w:hAnsi="宋体" w:cs="Arial" w:hint="eastAsia"/>
                <w:kern w:val="0"/>
                <w:sz w:val="24"/>
                <w:szCs w:val="21"/>
              </w:rPr>
              <w:t>1年</w:t>
            </w:r>
          </w:p>
        </w:tc>
        <w:tc>
          <w:tcPr>
            <w:tcW w:w="2078" w:type="dxa"/>
            <w:vAlign w:val="center"/>
          </w:tcPr>
          <w:p w14:paraId="1CB60DBE" w14:textId="77777777" w:rsidR="002970B0" w:rsidRPr="002970B0" w:rsidRDefault="002970B0" w:rsidP="002970B0">
            <w:pPr>
              <w:widowControl/>
              <w:spacing w:line="360" w:lineRule="auto"/>
              <w:jc w:val="center"/>
              <w:rPr>
                <w:rFonts w:ascii="宋体" w:eastAsia="宋体" w:hAnsi="宋体" w:cs="Arial" w:hint="eastAsia"/>
                <w:kern w:val="0"/>
                <w:sz w:val="24"/>
                <w:szCs w:val="21"/>
              </w:rPr>
            </w:pPr>
            <w:r w:rsidRPr="002970B0">
              <w:rPr>
                <w:rFonts w:ascii="宋体" w:eastAsia="宋体" w:hAnsi="宋体" w:cs="Arial" w:hint="eastAsia"/>
                <w:kern w:val="0"/>
                <w:sz w:val="24"/>
                <w:szCs w:val="21"/>
              </w:rPr>
              <w:t>350万元</w:t>
            </w:r>
          </w:p>
        </w:tc>
      </w:tr>
    </w:tbl>
    <w:p w14:paraId="3EC98745" w14:textId="77777777" w:rsidR="002970B0" w:rsidRPr="002970B0" w:rsidRDefault="002970B0" w:rsidP="002970B0">
      <w:pPr>
        <w:jc w:val="left"/>
        <w:rPr>
          <w:rFonts w:ascii="宋体" w:eastAsia="宋体" w:hAnsi="宋体" w:cs="Times New Roman" w:hint="eastAsia"/>
          <w:szCs w:val="24"/>
        </w:rPr>
      </w:pPr>
    </w:p>
    <w:p w14:paraId="545742F3" w14:textId="77777777" w:rsidR="002970B0" w:rsidRPr="002970B0" w:rsidRDefault="002970B0" w:rsidP="002970B0">
      <w:pPr>
        <w:rPr>
          <w:rFonts w:ascii="宋体" w:eastAsia="宋体" w:hAnsi="宋体" w:cs="Times New Roman" w:hint="eastAsia"/>
          <w:b/>
          <w:sz w:val="24"/>
          <w:szCs w:val="24"/>
        </w:rPr>
      </w:pPr>
      <w:r w:rsidRPr="002970B0">
        <w:rPr>
          <w:rFonts w:ascii="宋体" w:eastAsia="宋体" w:hAnsi="宋体" w:cs="Times New Roman" w:hint="eastAsia"/>
          <w:b/>
          <w:sz w:val="24"/>
          <w:szCs w:val="24"/>
        </w:rPr>
        <w:t>第二节．服务需求</w:t>
      </w:r>
    </w:p>
    <w:p w14:paraId="32B038CC" w14:textId="77777777" w:rsidR="002970B0" w:rsidRPr="002970B0" w:rsidRDefault="002970B0" w:rsidP="002970B0">
      <w:pPr>
        <w:autoSpaceDE w:val="0"/>
        <w:autoSpaceDN w:val="0"/>
        <w:adjustRightInd w:val="0"/>
        <w:spacing w:line="360" w:lineRule="auto"/>
        <w:jc w:val="left"/>
        <w:rPr>
          <w:rFonts w:ascii="宋体" w:eastAsia="宋体" w:hAnsi="Calibri" w:cs="Times New Roman" w:hint="eastAsia"/>
          <w:kern w:val="0"/>
          <w:sz w:val="24"/>
          <w:szCs w:val="20"/>
        </w:rPr>
      </w:pPr>
    </w:p>
    <w:p w14:paraId="2D7FBFC1"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1.项目名称：医疗责任保险</w:t>
      </w:r>
    </w:p>
    <w:p w14:paraId="18EC1A32"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2.资金来源：医疗风险基金</w:t>
      </w:r>
    </w:p>
    <w:p w14:paraId="34B5A3CA"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3.资金预算：350万元</w:t>
      </w:r>
    </w:p>
    <w:p w14:paraId="37595BFE"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4.项目概况：</w:t>
      </w:r>
    </w:p>
    <w:p w14:paraId="7A2AF06B"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医疗责任保险（简称“医责险”）是指被保险人及其医务人员在从事与其资格相符的诊疗护理工作中，因发生医疗事故、医疗差错及医疗意外，造成患者人身损害，由被保险人承担经济赔偿责任，而依照相关规定或约定由保险人负责赔偿或补偿的责任保险。2018年国务院颁布《医疗纠纷预防和处理条例》，其中第七条规定鼓励医疗机构参加医疗责任保险，鼓励患者参加医疗意外保险。</w:t>
      </w:r>
    </w:p>
    <w:p w14:paraId="5C562E35"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proofErr w:type="gramStart"/>
      <w:r w:rsidRPr="002970B0">
        <w:rPr>
          <w:rFonts w:ascii="宋体" w:eastAsia="宋体" w:hAnsi="Calibri" w:cs="Times New Roman" w:hint="eastAsia"/>
          <w:kern w:val="0"/>
          <w:sz w:val="24"/>
          <w:szCs w:val="20"/>
        </w:rPr>
        <w:t>医责险合同</w:t>
      </w:r>
      <w:proofErr w:type="gramEnd"/>
      <w:r w:rsidRPr="002970B0">
        <w:rPr>
          <w:rFonts w:ascii="宋体" w:eastAsia="宋体" w:hAnsi="Calibri" w:cs="Times New Roman" w:hint="eastAsia"/>
          <w:kern w:val="0"/>
          <w:sz w:val="24"/>
          <w:szCs w:val="20"/>
        </w:rPr>
        <w:t>金额测算所需数据（数据为参考估算值）：</w:t>
      </w:r>
    </w:p>
    <w:p w14:paraId="71379279"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门诊诊疗：</w:t>
      </w:r>
      <w:r w:rsidRPr="002970B0" w:rsidDel="009325A6">
        <w:rPr>
          <w:rFonts w:ascii="宋体" w:eastAsia="宋体" w:hAnsi="Calibri" w:cs="Times New Roman" w:hint="eastAsia"/>
          <w:kern w:val="0"/>
          <w:sz w:val="24"/>
          <w:szCs w:val="20"/>
        </w:rPr>
        <w:t xml:space="preserve"> </w:t>
      </w:r>
      <w:r w:rsidRPr="002970B0">
        <w:rPr>
          <w:rFonts w:ascii="宋体" w:eastAsia="宋体" w:hAnsi="Calibri" w:cs="Times New Roman"/>
          <w:kern w:val="0"/>
          <w:sz w:val="24"/>
          <w:szCs w:val="20"/>
        </w:rPr>
        <w:t>404</w:t>
      </w:r>
      <w:r w:rsidRPr="002970B0">
        <w:rPr>
          <w:rFonts w:ascii="宋体" w:eastAsia="宋体" w:hAnsi="Calibri" w:cs="Times New Roman" w:hint="eastAsia"/>
          <w:kern w:val="0"/>
          <w:sz w:val="24"/>
          <w:szCs w:val="20"/>
        </w:rPr>
        <w:t>万人次/年；急诊诊疗：</w:t>
      </w:r>
      <w:r w:rsidRPr="002970B0" w:rsidDel="009325A6">
        <w:rPr>
          <w:rFonts w:ascii="宋体" w:eastAsia="宋体" w:hAnsi="Calibri" w:cs="Times New Roman" w:hint="eastAsia"/>
          <w:kern w:val="0"/>
          <w:sz w:val="24"/>
          <w:szCs w:val="20"/>
        </w:rPr>
        <w:t xml:space="preserve"> </w:t>
      </w:r>
      <w:r w:rsidRPr="002970B0">
        <w:rPr>
          <w:rFonts w:ascii="宋体" w:eastAsia="宋体" w:hAnsi="Calibri" w:cs="Times New Roman" w:hint="eastAsia"/>
          <w:kern w:val="0"/>
          <w:sz w:val="24"/>
          <w:szCs w:val="20"/>
        </w:rPr>
        <w:t>250万人次/年</w:t>
      </w:r>
    </w:p>
    <w:p w14:paraId="7BFB2962"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出院患者：</w:t>
      </w:r>
      <w:r w:rsidRPr="002970B0" w:rsidDel="009325A6">
        <w:rPr>
          <w:rFonts w:ascii="宋体" w:eastAsia="宋体" w:hAnsi="Calibri" w:cs="Times New Roman" w:hint="eastAsia"/>
          <w:kern w:val="0"/>
          <w:sz w:val="24"/>
          <w:szCs w:val="20"/>
        </w:rPr>
        <w:t xml:space="preserve"> </w:t>
      </w:r>
      <w:r w:rsidRPr="002970B0">
        <w:rPr>
          <w:rFonts w:ascii="宋体" w:eastAsia="宋体" w:hAnsi="Calibri" w:cs="Times New Roman" w:hint="eastAsia"/>
          <w:kern w:val="0"/>
          <w:sz w:val="24"/>
          <w:szCs w:val="20"/>
        </w:rPr>
        <w:t>11万人次/年  手术量：6.</w:t>
      </w:r>
      <w:r w:rsidRPr="002970B0">
        <w:rPr>
          <w:rFonts w:ascii="宋体" w:eastAsia="宋体" w:hAnsi="Calibri" w:cs="Times New Roman"/>
          <w:kern w:val="0"/>
          <w:sz w:val="24"/>
          <w:szCs w:val="20"/>
        </w:rPr>
        <w:t>5</w:t>
      </w:r>
      <w:r w:rsidRPr="002970B0">
        <w:rPr>
          <w:rFonts w:ascii="宋体" w:eastAsia="宋体" w:hAnsi="Calibri" w:cs="Times New Roman" w:hint="eastAsia"/>
          <w:kern w:val="0"/>
          <w:sz w:val="24"/>
          <w:szCs w:val="20"/>
        </w:rPr>
        <w:t>万人次/年</w:t>
      </w:r>
    </w:p>
    <w:p w14:paraId="6D6F9780"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医务人员总数</w:t>
      </w:r>
      <w:r w:rsidRPr="002970B0" w:rsidDel="00CF0FF5">
        <w:rPr>
          <w:rFonts w:ascii="宋体" w:eastAsia="宋体" w:hAnsi="Calibri" w:cs="Times New Roman" w:hint="eastAsia"/>
          <w:kern w:val="0"/>
          <w:sz w:val="24"/>
          <w:szCs w:val="20"/>
        </w:rPr>
        <w:t xml:space="preserve"> </w:t>
      </w:r>
      <w:r w:rsidRPr="002970B0">
        <w:rPr>
          <w:rFonts w:ascii="宋体" w:eastAsia="宋体" w:hAnsi="Calibri" w:cs="Times New Roman" w:hint="eastAsia"/>
          <w:kern w:val="0"/>
          <w:sz w:val="24"/>
          <w:szCs w:val="20"/>
        </w:rPr>
        <w:t>4500人。</w:t>
      </w:r>
    </w:p>
    <w:p w14:paraId="6D13EFED"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5.项目需求：</w:t>
      </w:r>
    </w:p>
    <w:p w14:paraId="30E83CA0"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5.1 供应商需求</w:t>
      </w:r>
    </w:p>
    <w:p w14:paraId="586AA4C2"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5.1.1 有医疗领域保险服务经验的财险公司，具有多年承保“医责险”的实践经验。</w:t>
      </w:r>
    </w:p>
    <w:p w14:paraId="0E3F9021"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kern w:val="0"/>
          <w:sz w:val="24"/>
          <w:szCs w:val="20"/>
        </w:rPr>
      </w:pPr>
      <w:r w:rsidRPr="002970B0">
        <w:rPr>
          <w:rFonts w:ascii="宋体" w:eastAsia="宋体" w:hAnsi="Calibri" w:cs="Times New Roman" w:hint="eastAsia"/>
          <w:kern w:val="0"/>
          <w:sz w:val="24"/>
          <w:szCs w:val="20"/>
        </w:rPr>
        <w:t>5.1.2 可同步开展医疗意外保险，如手术意外险等（即商业保险公司承保的患者因接受手术或有</w:t>
      </w:r>
      <w:proofErr w:type="gramStart"/>
      <w:r w:rsidRPr="002970B0">
        <w:rPr>
          <w:rFonts w:ascii="宋体" w:eastAsia="宋体" w:hAnsi="Calibri" w:cs="Times New Roman" w:hint="eastAsia"/>
          <w:kern w:val="0"/>
          <w:sz w:val="24"/>
          <w:szCs w:val="20"/>
        </w:rPr>
        <w:t>创操作</w:t>
      </w:r>
      <w:proofErr w:type="gramEnd"/>
      <w:r w:rsidRPr="002970B0">
        <w:rPr>
          <w:rFonts w:ascii="宋体" w:eastAsia="宋体" w:hAnsi="Calibri" w:cs="Times New Roman" w:hint="eastAsia"/>
          <w:kern w:val="0"/>
          <w:sz w:val="24"/>
          <w:szCs w:val="20"/>
        </w:rPr>
        <w:t>出现并发症或者死亡和伤残等情况时获得保险公</w:t>
      </w:r>
      <w:r w:rsidRPr="002970B0">
        <w:rPr>
          <w:rFonts w:ascii="宋体" w:eastAsia="宋体" w:hAnsi="Calibri" w:cs="Times New Roman" w:hint="eastAsia"/>
          <w:kern w:val="0"/>
          <w:sz w:val="24"/>
          <w:szCs w:val="20"/>
        </w:rPr>
        <w:lastRenderedPageBreak/>
        <w:t>司损害赔偿金的保险品种），具有多年的实践经验。</w:t>
      </w:r>
    </w:p>
    <w:p w14:paraId="3788F9D0"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5</w:t>
      </w:r>
      <w:r w:rsidRPr="002970B0">
        <w:rPr>
          <w:rFonts w:ascii="宋体" w:eastAsia="宋体" w:hAnsi="Calibri" w:cs="Times New Roman"/>
          <w:kern w:val="0"/>
          <w:sz w:val="24"/>
          <w:szCs w:val="20"/>
        </w:rPr>
        <w:t>.1.3</w:t>
      </w:r>
      <w:r w:rsidRPr="002970B0">
        <w:rPr>
          <w:rFonts w:ascii="宋体" w:eastAsia="宋体" w:hAnsi="Calibri" w:cs="Times New Roman" w:hint="eastAsia"/>
          <w:kern w:val="0"/>
          <w:sz w:val="24"/>
          <w:szCs w:val="20"/>
        </w:rPr>
        <w:t xml:space="preserve"> 偿付能力</w:t>
      </w:r>
      <w:r w:rsidRPr="002970B0">
        <w:rPr>
          <w:rFonts w:ascii="宋体" w:eastAsia="宋体" w:hAnsi="Calibri" w:cs="Times New Roman"/>
          <w:kern w:val="0"/>
          <w:sz w:val="24"/>
          <w:szCs w:val="20"/>
        </w:rPr>
        <w:t>充足率</w:t>
      </w:r>
      <w:r w:rsidRPr="002970B0">
        <w:rPr>
          <w:rFonts w:ascii="宋体" w:eastAsia="宋体" w:hAnsi="Calibri" w:cs="Times New Roman" w:hint="eastAsia"/>
          <w:kern w:val="0"/>
          <w:sz w:val="24"/>
          <w:szCs w:val="20"/>
        </w:rPr>
        <w:t>，</w:t>
      </w:r>
      <w:r w:rsidRPr="002970B0">
        <w:rPr>
          <w:rFonts w:ascii="宋体" w:eastAsia="宋体" w:hAnsi="Calibri" w:cs="Times New Roman"/>
          <w:kern w:val="0"/>
          <w:sz w:val="24"/>
          <w:szCs w:val="20"/>
        </w:rPr>
        <w:t>供应商应提供承诺</w:t>
      </w:r>
      <w:r w:rsidRPr="002970B0">
        <w:rPr>
          <w:rFonts w:ascii="宋体" w:eastAsia="宋体" w:hAnsi="Calibri" w:cs="Times New Roman" w:hint="eastAsia"/>
          <w:kern w:val="0"/>
          <w:sz w:val="24"/>
          <w:szCs w:val="20"/>
        </w:rPr>
        <w:t>。</w:t>
      </w:r>
    </w:p>
    <w:p w14:paraId="1CE46067"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5.1.</w:t>
      </w:r>
      <w:r w:rsidRPr="002970B0">
        <w:rPr>
          <w:rFonts w:ascii="宋体" w:eastAsia="宋体" w:hAnsi="Calibri" w:cs="Times New Roman"/>
          <w:kern w:val="0"/>
          <w:sz w:val="24"/>
          <w:szCs w:val="20"/>
        </w:rPr>
        <w:t>4</w:t>
      </w:r>
      <w:r w:rsidRPr="002970B0">
        <w:rPr>
          <w:rFonts w:ascii="宋体" w:eastAsia="宋体" w:hAnsi="Calibri" w:cs="Times New Roman" w:hint="eastAsia"/>
          <w:kern w:val="0"/>
          <w:sz w:val="24"/>
          <w:szCs w:val="20"/>
        </w:rPr>
        <w:t>北京市医疗纠纷</w:t>
      </w:r>
      <w:r w:rsidRPr="002970B0">
        <w:rPr>
          <w:rFonts w:ascii="宋体" w:eastAsia="宋体" w:hAnsi="Calibri" w:cs="Times New Roman"/>
          <w:kern w:val="0"/>
          <w:sz w:val="24"/>
          <w:szCs w:val="20"/>
        </w:rPr>
        <w:t>人民</w:t>
      </w:r>
      <w:r w:rsidRPr="002970B0">
        <w:rPr>
          <w:rFonts w:ascii="宋体" w:eastAsia="宋体" w:hAnsi="Calibri" w:cs="Times New Roman" w:hint="eastAsia"/>
          <w:kern w:val="0"/>
          <w:sz w:val="24"/>
          <w:szCs w:val="20"/>
        </w:rPr>
        <w:t>调解</w:t>
      </w:r>
      <w:r w:rsidRPr="002970B0">
        <w:rPr>
          <w:rFonts w:ascii="宋体" w:eastAsia="宋体" w:hAnsi="Calibri" w:cs="Times New Roman"/>
          <w:kern w:val="0"/>
          <w:sz w:val="24"/>
          <w:szCs w:val="20"/>
        </w:rPr>
        <w:t>委员会</w:t>
      </w:r>
      <w:r w:rsidRPr="002970B0">
        <w:rPr>
          <w:rFonts w:ascii="宋体" w:eastAsia="宋体" w:hAnsi="Calibri" w:cs="Times New Roman" w:hint="eastAsia"/>
          <w:kern w:val="0"/>
          <w:sz w:val="24"/>
          <w:szCs w:val="20"/>
        </w:rPr>
        <w:t>（简称</w:t>
      </w:r>
      <w:r w:rsidRPr="002970B0">
        <w:rPr>
          <w:rFonts w:ascii="宋体" w:eastAsia="宋体" w:hAnsi="Calibri" w:cs="Times New Roman"/>
          <w:kern w:val="0"/>
          <w:sz w:val="24"/>
          <w:szCs w:val="20"/>
        </w:rPr>
        <w:t>：</w:t>
      </w:r>
      <w:r w:rsidRPr="002970B0">
        <w:rPr>
          <w:rFonts w:ascii="宋体" w:eastAsia="宋体" w:hAnsi="Calibri" w:cs="Times New Roman"/>
          <w:kern w:val="0"/>
          <w:sz w:val="24"/>
          <w:szCs w:val="20"/>
        </w:rPr>
        <w:t>“</w:t>
      </w:r>
      <w:r w:rsidRPr="002970B0">
        <w:rPr>
          <w:rFonts w:ascii="宋体" w:eastAsia="宋体" w:hAnsi="Calibri" w:cs="Times New Roman" w:hint="eastAsia"/>
          <w:kern w:val="0"/>
          <w:sz w:val="24"/>
          <w:szCs w:val="20"/>
        </w:rPr>
        <w:t>医调委</w:t>
      </w:r>
      <w:r w:rsidRPr="002970B0">
        <w:rPr>
          <w:rFonts w:ascii="宋体" w:eastAsia="宋体" w:hAnsi="Calibri" w:cs="Times New Roman"/>
          <w:kern w:val="0"/>
          <w:sz w:val="24"/>
          <w:szCs w:val="20"/>
        </w:rPr>
        <w:t>”</w:t>
      </w:r>
      <w:r w:rsidRPr="002970B0">
        <w:rPr>
          <w:rFonts w:ascii="宋体" w:eastAsia="宋体" w:hAnsi="Calibri" w:cs="Times New Roman" w:hint="eastAsia"/>
          <w:kern w:val="0"/>
          <w:sz w:val="24"/>
          <w:szCs w:val="20"/>
        </w:rPr>
        <w:t>）为市属专业医疗纠纷人民调解队伍，保险公司应认可</w:t>
      </w:r>
      <w:proofErr w:type="gramStart"/>
      <w:r w:rsidRPr="002970B0">
        <w:rPr>
          <w:rFonts w:ascii="宋体" w:eastAsia="宋体" w:hAnsi="Calibri" w:cs="Times New Roman" w:hint="eastAsia"/>
          <w:kern w:val="0"/>
          <w:sz w:val="24"/>
          <w:szCs w:val="20"/>
        </w:rPr>
        <w:t>医</w:t>
      </w:r>
      <w:proofErr w:type="gramEnd"/>
      <w:r w:rsidRPr="002970B0">
        <w:rPr>
          <w:rFonts w:ascii="宋体" w:eastAsia="宋体" w:hAnsi="Calibri" w:cs="Times New Roman" w:hint="eastAsia"/>
          <w:kern w:val="0"/>
          <w:sz w:val="24"/>
          <w:szCs w:val="20"/>
        </w:rPr>
        <w:t>调委调解建议，并保障理赔渠道畅通。</w:t>
      </w:r>
    </w:p>
    <w:p w14:paraId="00531FF8"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5.2 险种需求</w:t>
      </w:r>
    </w:p>
    <w:p w14:paraId="0FFE2AB0"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5.2.1 主险：医疗责任保险（不含死亡赔偿金）【必选】</w:t>
      </w:r>
    </w:p>
    <w:p w14:paraId="24B86141"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5.2.2 附加险</w:t>
      </w:r>
    </w:p>
    <w:p w14:paraId="5077CF1D"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（1）外请医务人员</w:t>
      </w:r>
    </w:p>
    <w:p w14:paraId="1F51690C"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（2）医务人员遭受伤害</w:t>
      </w:r>
    </w:p>
    <w:p w14:paraId="1137BF37"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（3）场所责任</w:t>
      </w:r>
    </w:p>
    <w:p w14:paraId="22AF49E5"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5.3 服务需求</w:t>
      </w:r>
    </w:p>
    <w:p w14:paraId="39B29069"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5.3.1基本需求</w:t>
      </w:r>
    </w:p>
    <w:p w14:paraId="125AEB28"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（1）高效：快速响应、及时反馈、及时理赔。</w:t>
      </w:r>
    </w:p>
    <w:p w14:paraId="44FC1D4C"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（2）全面：尽可能保障保险人权益、提供全面的理赔服务。</w:t>
      </w:r>
    </w:p>
    <w:p w14:paraId="16FCB631"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（3）公开：保险人和被保险人充分交流、协作。</w:t>
      </w:r>
    </w:p>
    <w:p w14:paraId="77E63783"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5.3.2具体需求</w:t>
      </w:r>
    </w:p>
    <w:p w14:paraId="55EC81E4"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（1）24小时服务热线</w:t>
      </w:r>
    </w:p>
    <w:p w14:paraId="6D3FF7D8"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（2）专人服务、对接</w:t>
      </w:r>
    </w:p>
    <w:p w14:paraId="4A140883"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必要时能够赴现场参与医疗纠纷调解，给患方讲解医疗责任保险相关政策规定。</w:t>
      </w:r>
    </w:p>
    <w:p w14:paraId="7D976AEB"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（3）理赔流程简便、快捷</w:t>
      </w:r>
    </w:p>
    <w:p w14:paraId="34EDB7B4"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kern w:val="0"/>
          <w:sz w:val="24"/>
          <w:szCs w:val="20"/>
        </w:rPr>
        <w:t>A</w:t>
      </w:r>
      <w:r w:rsidRPr="002970B0">
        <w:rPr>
          <w:rFonts w:ascii="宋体" w:eastAsia="宋体" w:hAnsi="Calibri" w:cs="Times New Roman" w:hint="eastAsia"/>
          <w:kern w:val="0"/>
          <w:sz w:val="24"/>
          <w:szCs w:val="20"/>
        </w:rPr>
        <w:t xml:space="preserve"> 医方尽可能</w:t>
      </w:r>
      <w:proofErr w:type="gramStart"/>
      <w:r w:rsidRPr="002970B0">
        <w:rPr>
          <w:rFonts w:ascii="宋体" w:eastAsia="宋体" w:hAnsi="Calibri" w:cs="Times New Roman" w:hint="eastAsia"/>
          <w:kern w:val="0"/>
          <w:sz w:val="24"/>
          <w:szCs w:val="20"/>
        </w:rPr>
        <w:t>少提供</w:t>
      </w:r>
      <w:proofErr w:type="gramEnd"/>
      <w:r w:rsidRPr="002970B0">
        <w:rPr>
          <w:rFonts w:ascii="宋体" w:eastAsia="宋体" w:hAnsi="Calibri" w:cs="Times New Roman" w:hint="eastAsia"/>
          <w:kern w:val="0"/>
          <w:sz w:val="24"/>
          <w:szCs w:val="20"/>
        </w:rPr>
        <w:t>书面材料；</w:t>
      </w:r>
    </w:p>
    <w:p w14:paraId="1EAD3176"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kern w:val="0"/>
          <w:sz w:val="24"/>
          <w:szCs w:val="20"/>
        </w:rPr>
        <w:t>B</w:t>
      </w:r>
      <w:r w:rsidRPr="002970B0">
        <w:rPr>
          <w:rFonts w:ascii="宋体" w:eastAsia="宋体" w:hAnsi="Calibri" w:cs="Times New Roman" w:hint="eastAsia"/>
          <w:kern w:val="0"/>
          <w:sz w:val="24"/>
          <w:szCs w:val="20"/>
        </w:rPr>
        <w:t xml:space="preserve"> 保险公司针对医方意见应于</w:t>
      </w:r>
      <w:r w:rsidRPr="002970B0">
        <w:rPr>
          <w:rFonts w:ascii="宋体" w:eastAsia="宋体" w:hAnsi="Calibri" w:cs="Times New Roman"/>
          <w:kern w:val="0"/>
          <w:sz w:val="24"/>
          <w:szCs w:val="20"/>
        </w:rPr>
        <w:t>5</w:t>
      </w:r>
      <w:r w:rsidRPr="002970B0">
        <w:rPr>
          <w:rFonts w:ascii="宋体" w:eastAsia="宋体" w:hAnsi="Calibri" w:cs="Times New Roman" w:hint="eastAsia"/>
          <w:kern w:val="0"/>
          <w:sz w:val="24"/>
          <w:szCs w:val="20"/>
        </w:rPr>
        <w:t>个工作日内做出是否予以理赔的决定，针对其他工作疑问等流程</w:t>
      </w:r>
      <w:r w:rsidRPr="002970B0">
        <w:rPr>
          <w:rFonts w:ascii="宋体" w:eastAsia="宋体" w:hAnsi="Calibri" w:cs="Times New Roman"/>
          <w:kern w:val="0"/>
          <w:sz w:val="24"/>
          <w:szCs w:val="20"/>
        </w:rPr>
        <w:t>一般事项</w:t>
      </w:r>
      <w:r w:rsidRPr="002970B0">
        <w:rPr>
          <w:rFonts w:ascii="宋体" w:eastAsia="宋体" w:hAnsi="Calibri" w:cs="Times New Roman" w:hint="eastAsia"/>
          <w:kern w:val="0"/>
          <w:sz w:val="24"/>
          <w:szCs w:val="20"/>
        </w:rPr>
        <w:t>应当时解决，最迟不超过3个工作日；</w:t>
      </w:r>
    </w:p>
    <w:p w14:paraId="754F30C3" w14:textId="77777777" w:rsidR="002970B0" w:rsidRPr="002970B0" w:rsidRDefault="002970B0" w:rsidP="002970B0">
      <w:pPr>
        <w:widowControl/>
        <w:spacing w:line="360" w:lineRule="auto"/>
        <w:ind w:firstLineChars="200" w:firstLine="48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C对于医院已经赔付案件，收到医方提交的必要索赔资料时，及时快速理赔，回款时间至迟不超过十五个工作日。</w:t>
      </w:r>
    </w:p>
    <w:p w14:paraId="7A0EB22E"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（4） 简易程序理赔通道</w:t>
      </w:r>
    </w:p>
    <w:p w14:paraId="20D68CF8"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针对小额赔偿案件（＜</w:t>
      </w:r>
      <w:r w:rsidRPr="002970B0">
        <w:rPr>
          <w:rFonts w:ascii="宋体" w:eastAsia="宋体" w:hAnsi="Calibri" w:cs="Times New Roman"/>
          <w:kern w:val="0"/>
          <w:sz w:val="24"/>
          <w:szCs w:val="20"/>
        </w:rPr>
        <w:t>1</w:t>
      </w:r>
      <w:r w:rsidRPr="002970B0">
        <w:rPr>
          <w:rFonts w:ascii="宋体" w:eastAsia="宋体" w:hAnsi="Calibri" w:cs="Times New Roman" w:hint="eastAsia"/>
          <w:kern w:val="0"/>
          <w:sz w:val="24"/>
          <w:szCs w:val="20"/>
        </w:rPr>
        <w:t>万元赔付案件），</w:t>
      </w:r>
      <w:proofErr w:type="gramStart"/>
      <w:r w:rsidRPr="002970B0">
        <w:rPr>
          <w:rFonts w:ascii="宋体" w:eastAsia="宋体" w:hAnsi="Calibri" w:cs="Times New Roman" w:hint="eastAsia"/>
          <w:kern w:val="0"/>
          <w:sz w:val="24"/>
          <w:szCs w:val="20"/>
        </w:rPr>
        <w:t>医</w:t>
      </w:r>
      <w:proofErr w:type="gramEnd"/>
      <w:r w:rsidRPr="002970B0">
        <w:rPr>
          <w:rFonts w:ascii="宋体" w:eastAsia="宋体" w:hAnsi="Calibri" w:cs="Times New Roman" w:hint="eastAsia"/>
          <w:kern w:val="0"/>
          <w:sz w:val="24"/>
          <w:szCs w:val="20"/>
        </w:rPr>
        <w:t>患协商并经律师认可后，保险公司具有快速理赔通道。</w:t>
      </w:r>
    </w:p>
    <w:p w14:paraId="61EABC1E"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lastRenderedPageBreak/>
        <w:t>（5） 风险管理服务</w:t>
      </w:r>
    </w:p>
    <w:p w14:paraId="053FA351"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a案例分析，就医疗机构问题及时反馈，按季度或半年进行一次沟通交流；</w:t>
      </w:r>
    </w:p>
    <w:p w14:paraId="75691AC9"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b专题培训：包含医疗法律法规、纠纷高发因素、保险理赔流程、保险理赔范围等相关内容。</w:t>
      </w:r>
    </w:p>
    <w:p w14:paraId="5C359258"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c受理投诉服务：针对保险理赔过程中存在的保险人员以及保险服务违规违纪或存在问题未予以解决的，具有专门渠道予以受理投诉并给予回复。</w:t>
      </w:r>
    </w:p>
    <w:p w14:paraId="0E3C2798"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（6）合作律所</w:t>
      </w:r>
    </w:p>
    <w:p w14:paraId="34C79BBB"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对于小额赔偿案件、简易</w:t>
      </w:r>
      <w:r w:rsidRPr="002970B0">
        <w:rPr>
          <w:rFonts w:ascii="宋体" w:eastAsia="宋体" w:hAnsi="Calibri" w:cs="Times New Roman"/>
          <w:kern w:val="0"/>
          <w:sz w:val="24"/>
          <w:szCs w:val="20"/>
        </w:rPr>
        <w:t>程序案件或者</w:t>
      </w:r>
      <w:r w:rsidRPr="002970B0">
        <w:rPr>
          <w:rFonts w:ascii="宋体" w:eastAsia="宋体" w:hAnsi="Calibri" w:cs="Times New Roman" w:hint="eastAsia"/>
          <w:kern w:val="0"/>
          <w:sz w:val="24"/>
          <w:szCs w:val="20"/>
        </w:rPr>
        <w:t>超出</w:t>
      </w:r>
      <w:proofErr w:type="gramStart"/>
      <w:r w:rsidRPr="002970B0">
        <w:rPr>
          <w:rFonts w:ascii="宋体" w:eastAsia="宋体" w:hAnsi="Calibri" w:cs="Times New Roman" w:hint="eastAsia"/>
          <w:kern w:val="0"/>
          <w:sz w:val="24"/>
          <w:szCs w:val="20"/>
        </w:rPr>
        <w:t>医</w:t>
      </w:r>
      <w:proofErr w:type="gramEnd"/>
      <w:r w:rsidRPr="002970B0">
        <w:rPr>
          <w:rFonts w:ascii="宋体" w:eastAsia="宋体" w:hAnsi="Calibri" w:cs="Times New Roman" w:hint="eastAsia"/>
          <w:kern w:val="0"/>
          <w:sz w:val="24"/>
          <w:szCs w:val="20"/>
        </w:rPr>
        <w:t>调委</w:t>
      </w:r>
      <w:r w:rsidRPr="002970B0">
        <w:rPr>
          <w:rFonts w:ascii="宋体" w:eastAsia="宋体" w:hAnsi="Calibri" w:cs="Times New Roman"/>
          <w:kern w:val="0"/>
          <w:sz w:val="24"/>
          <w:szCs w:val="20"/>
        </w:rPr>
        <w:t>调解</w:t>
      </w:r>
      <w:r w:rsidRPr="002970B0">
        <w:rPr>
          <w:rFonts w:ascii="宋体" w:eastAsia="宋体" w:hAnsi="Calibri" w:cs="Times New Roman" w:hint="eastAsia"/>
          <w:kern w:val="0"/>
          <w:sz w:val="24"/>
          <w:szCs w:val="20"/>
        </w:rPr>
        <w:t>建议</w:t>
      </w:r>
      <w:r w:rsidRPr="002970B0">
        <w:rPr>
          <w:rFonts w:ascii="宋体" w:eastAsia="宋体" w:hAnsi="Calibri" w:cs="Times New Roman"/>
          <w:kern w:val="0"/>
          <w:sz w:val="24"/>
          <w:szCs w:val="20"/>
        </w:rPr>
        <w:t>限额的案件</w:t>
      </w:r>
      <w:r w:rsidRPr="002970B0">
        <w:rPr>
          <w:rFonts w:ascii="宋体" w:eastAsia="宋体" w:hAnsi="Calibri" w:cs="Times New Roman" w:hint="eastAsia"/>
          <w:kern w:val="0"/>
          <w:sz w:val="24"/>
          <w:szCs w:val="20"/>
        </w:rPr>
        <w:t>可</w:t>
      </w:r>
      <w:r w:rsidRPr="002970B0">
        <w:rPr>
          <w:rFonts w:ascii="宋体" w:eastAsia="宋体" w:hAnsi="Calibri" w:cs="Times New Roman"/>
          <w:kern w:val="0"/>
          <w:sz w:val="24"/>
          <w:szCs w:val="20"/>
        </w:rPr>
        <w:t>通过</w:t>
      </w:r>
      <w:r w:rsidRPr="002970B0">
        <w:rPr>
          <w:rFonts w:ascii="宋体" w:eastAsia="宋体" w:hAnsi="Calibri" w:cs="Times New Roman" w:hint="eastAsia"/>
          <w:kern w:val="0"/>
          <w:sz w:val="24"/>
          <w:szCs w:val="20"/>
        </w:rPr>
        <w:t>与医疗机构合作的</w:t>
      </w:r>
      <w:r w:rsidRPr="002970B0">
        <w:rPr>
          <w:rFonts w:ascii="宋体" w:eastAsia="宋体" w:hAnsi="Calibri" w:cs="Times New Roman"/>
          <w:kern w:val="0"/>
          <w:sz w:val="24"/>
          <w:szCs w:val="20"/>
        </w:rPr>
        <w:t>律所提供</w:t>
      </w:r>
      <w:r w:rsidRPr="002970B0">
        <w:rPr>
          <w:rFonts w:ascii="宋体" w:eastAsia="宋体" w:hAnsi="Calibri" w:cs="Times New Roman" w:hint="eastAsia"/>
          <w:kern w:val="0"/>
          <w:sz w:val="24"/>
          <w:szCs w:val="20"/>
        </w:rPr>
        <w:t>的</w:t>
      </w:r>
      <w:r w:rsidRPr="002970B0">
        <w:rPr>
          <w:rFonts w:ascii="宋体" w:eastAsia="宋体" w:hAnsi="Calibri" w:cs="Times New Roman"/>
          <w:kern w:val="0"/>
          <w:sz w:val="24"/>
          <w:szCs w:val="20"/>
        </w:rPr>
        <w:t>专业意见进行理赔工作</w:t>
      </w:r>
      <w:r w:rsidRPr="002970B0">
        <w:rPr>
          <w:rFonts w:ascii="宋体" w:eastAsia="宋体" w:hAnsi="Calibri" w:cs="Times New Roman" w:hint="eastAsia"/>
          <w:kern w:val="0"/>
          <w:sz w:val="24"/>
          <w:szCs w:val="20"/>
        </w:rPr>
        <w:t>。保险</w:t>
      </w:r>
      <w:r w:rsidRPr="002970B0">
        <w:rPr>
          <w:rFonts w:ascii="宋体" w:eastAsia="宋体" w:hAnsi="Calibri" w:cs="Times New Roman"/>
          <w:kern w:val="0"/>
          <w:sz w:val="24"/>
          <w:szCs w:val="20"/>
        </w:rPr>
        <w:t>公司应承诺</w:t>
      </w:r>
      <w:proofErr w:type="gramStart"/>
      <w:r w:rsidRPr="002970B0">
        <w:rPr>
          <w:rFonts w:ascii="宋体" w:eastAsia="宋体" w:hAnsi="Calibri" w:cs="Times New Roman"/>
          <w:kern w:val="0"/>
          <w:sz w:val="24"/>
          <w:szCs w:val="20"/>
        </w:rPr>
        <w:t>认可该律所</w:t>
      </w:r>
      <w:proofErr w:type="gramEnd"/>
      <w:r w:rsidRPr="002970B0">
        <w:rPr>
          <w:rFonts w:ascii="宋体" w:eastAsia="宋体" w:hAnsi="Calibri" w:cs="Times New Roman"/>
          <w:kern w:val="0"/>
          <w:sz w:val="24"/>
          <w:szCs w:val="20"/>
        </w:rPr>
        <w:t>出具的律师意见并按照相关意见进行理赔工作</w:t>
      </w:r>
      <w:r w:rsidRPr="002970B0">
        <w:rPr>
          <w:rFonts w:ascii="宋体" w:eastAsia="宋体" w:hAnsi="Calibri" w:cs="Times New Roman" w:hint="eastAsia"/>
          <w:kern w:val="0"/>
          <w:sz w:val="24"/>
          <w:szCs w:val="20"/>
        </w:rPr>
        <w:t>。</w:t>
      </w:r>
    </w:p>
    <w:p w14:paraId="68AE2089"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（7）可提供涉及我院理赔的相关数据信息</w:t>
      </w:r>
    </w:p>
    <w:p w14:paraId="7B230C2C"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提供理赔相关数据信息，供年度总结或者课题研究用。</w:t>
      </w:r>
    </w:p>
    <w:p w14:paraId="0A96DD1D"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5.4团队需求</w:t>
      </w:r>
    </w:p>
    <w:p w14:paraId="58AD4F04"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kern w:val="0"/>
          <w:sz w:val="24"/>
          <w:szCs w:val="20"/>
        </w:rPr>
      </w:pPr>
      <w:r w:rsidRPr="002970B0">
        <w:rPr>
          <w:rFonts w:ascii="宋体" w:eastAsia="宋体" w:hAnsi="Calibri" w:cs="Times New Roman" w:hint="eastAsia"/>
          <w:kern w:val="0"/>
          <w:sz w:val="24"/>
          <w:szCs w:val="20"/>
        </w:rPr>
        <w:t>服务团队工作人员具有医学、法学、金融学、经济学等背景，沟通表达能力强，工作经验丰富，保障理赔顺畅。</w:t>
      </w:r>
    </w:p>
    <w:p w14:paraId="0BBD301C"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配备服务</w:t>
      </w:r>
      <w:r w:rsidRPr="002970B0">
        <w:rPr>
          <w:rFonts w:ascii="宋体" w:eastAsia="宋体" w:hAnsi="Calibri" w:cs="Times New Roman"/>
          <w:kern w:val="0"/>
          <w:sz w:val="24"/>
          <w:szCs w:val="20"/>
        </w:rPr>
        <w:t>专员</w:t>
      </w:r>
      <w:r w:rsidRPr="002970B0">
        <w:rPr>
          <w:rFonts w:ascii="宋体" w:eastAsia="宋体" w:hAnsi="Calibri" w:cs="Times New Roman" w:hint="eastAsia"/>
          <w:kern w:val="0"/>
          <w:sz w:val="24"/>
          <w:szCs w:val="20"/>
        </w:rPr>
        <w:t>1名</w:t>
      </w:r>
      <w:r w:rsidRPr="002970B0">
        <w:rPr>
          <w:rFonts w:ascii="宋体" w:eastAsia="宋体" w:hAnsi="Calibri" w:cs="Times New Roman"/>
          <w:kern w:val="0"/>
          <w:sz w:val="24"/>
          <w:szCs w:val="20"/>
        </w:rPr>
        <w:t>，</w:t>
      </w:r>
      <w:r w:rsidRPr="002970B0">
        <w:rPr>
          <w:rFonts w:ascii="宋体" w:eastAsia="宋体" w:hAnsi="Calibri" w:cs="Times New Roman" w:hint="eastAsia"/>
          <w:kern w:val="0"/>
          <w:sz w:val="24"/>
          <w:szCs w:val="20"/>
        </w:rPr>
        <w:t>项目</w:t>
      </w:r>
      <w:r w:rsidRPr="002970B0">
        <w:rPr>
          <w:rFonts w:ascii="宋体" w:eastAsia="宋体" w:hAnsi="Calibri" w:cs="Times New Roman"/>
          <w:kern w:val="0"/>
          <w:sz w:val="24"/>
          <w:szCs w:val="20"/>
        </w:rPr>
        <w:t>经理</w:t>
      </w:r>
      <w:r w:rsidRPr="002970B0">
        <w:rPr>
          <w:rFonts w:ascii="宋体" w:eastAsia="宋体" w:hAnsi="Calibri" w:cs="Times New Roman" w:hint="eastAsia"/>
          <w:kern w:val="0"/>
          <w:sz w:val="24"/>
          <w:szCs w:val="20"/>
        </w:rPr>
        <w:t>1名负责</w:t>
      </w:r>
      <w:r w:rsidRPr="002970B0">
        <w:rPr>
          <w:rFonts w:ascii="宋体" w:eastAsia="宋体" w:hAnsi="Calibri" w:cs="Times New Roman"/>
          <w:kern w:val="0"/>
          <w:sz w:val="24"/>
          <w:szCs w:val="20"/>
        </w:rPr>
        <w:t>提供保险服务</w:t>
      </w:r>
      <w:r w:rsidRPr="002970B0">
        <w:rPr>
          <w:rFonts w:ascii="宋体" w:eastAsia="宋体" w:hAnsi="Calibri" w:cs="Times New Roman" w:hint="eastAsia"/>
          <w:kern w:val="0"/>
          <w:sz w:val="24"/>
          <w:szCs w:val="20"/>
        </w:rPr>
        <w:t>（提供姓名及联络方式）</w:t>
      </w:r>
      <w:r w:rsidRPr="002970B0">
        <w:rPr>
          <w:rFonts w:ascii="宋体" w:eastAsia="宋体" w:hAnsi="Calibri" w:cs="Times New Roman"/>
          <w:kern w:val="0"/>
          <w:sz w:val="24"/>
          <w:szCs w:val="20"/>
        </w:rPr>
        <w:t>。</w:t>
      </w:r>
    </w:p>
    <w:p w14:paraId="73EB6BF9"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b/>
          <w:kern w:val="0"/>
          <w:sz w:val="24"/>
          <w:szCs w:val="20"/>
        </w:rPr>
      </w:pPr>
      <w:r w:rsidRPr="002970B0">
        <w:rPr>
          <w:rFonts w:ascii="宋体" w:eastAsia="宋体" w:hAnsi="Calibri" w:cs="Times New Roman" w:hint="eastAsia"/>
          <w:b/>
          <w:kern w:val="0"/>
          <w:sz w:val="24"/>
          <w:szCs w:val="20"/>
        </w:rPr>
        <w:t>5.5价格需求</w:t>
      </w:r>
    </w:p>
    <w:p w14:paraId="299A2C70"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原则：以赔偿限制条件越少、赔偿限额越高为佳。</w:t>
      </w:r>
    </w:p>
    <w:p w14:paraId="1AA79DA1"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5.5.1医疗责任保险（不含死亡赔偿金）</w:t>
      </w:r>
    </w:p>
    <w:p w14:paraId="2B56F445"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（1）单次责任限额20万元及以上</w:t>
      </w:r>
    </w:p>
    <w:p w14:paraId="41E5B92F"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累计责任限额</w:t>
      </w:r>
      <w:r w:rsidRPr="002970B0">
        <w:rPr>
          <w:rFonts w:ascii="宋体" w:eastAsia="宋体" w:hAnsi="Calibri" w:cs="Times New Roman"/>
          <w:kern w:val="0"/>
          <w:sz w:val="24"/>
          <w:szCs w:val="20"/>
        </w:rPr>
        <w:t>300</w:t>
      </w:r>
      <w:r w:rsidRPr="002970B0">
        <w:rPr>
          <w:rFonts w:ascii="宋体" w:eastAsia="宋体" w:hAnsi="Calibri" w:cs="Times New Roman" w:hint="eastAsia"/>
          <w:kern w:val="0"/>
          <w:sz w:val="24"/>
          <w:szCs w:val="20"/>
        </w:rPr>
        <w:t>万及以上</w:t>
      </w:r>
    </w:p>
    <w:p w14:paraId="24FE09CE"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每次法律费用责任限额2万元及以上</w:t>
      </w:r>
    </w:p>
    <w:p w14:paraId="40CAF37C"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累计法律费用责任限额60万元及以上</w:t>
      </w:r>
    </w:p>
    <w:p w14:paraId="44EBB91C"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（2）免赔额：5000元及以下、实际赔偿的5%，两者以</w:t>
      </w:r>
      <w:proofErr w:type="gramStart"/>
      <w:r w:rsidRPr="002970B0">
        <w:rPr>
          <w:rFonts w:ascii="宋体" w:eastAsia="宋体" w:hAnsi="Calibri" w:cs="Times New Roman" w:hint="eastAsia"/>
          <w:kern w:val="0"/>
          <w:sz w:val="24"/>
          <w:szCs w:val="20"/>
        </w:rPr>
        <w:t>高者为准取大</w:t>
      </w:r>
      <w:proofErr w:type="gramEnd"/>
      <w:r w:rsidRPr="002970B0">
        <w:rPr>
          <w:rFonts w:ascii="宋体" w:eastAsia="宋体" w:hAnsi="Calibri" w:cs="Times New Roman" w:hint="eastAsia"/>
          <w:kern w:val="0"/>
          <w:sz w:val="24"/>
          <w:szCs w:val="20"/>
        </w:rPr>
        <w:t>。</w:t>
      </w:r>
    </w:p>
    <w:p w14:paraId="22293194"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5.5.2附加险（1）外请医务人员</w:t>
      </w:r>
    </w:p>
    <w:p w14:paraId="215FBC68"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（2）医务人员遭受伤害</w:t>
      </w:r>
    </w:p>
    <w:p w14:paraId="70CB99C0"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hint="eastAsia"/>
          <w:kern w:val="0"/>
          <w:sz w:val="24"/>
          <w:szCs w:val="20"/>
        </w:rPr>
      </w:pPr>
      <w:r w:rsidRPr="002970B0">
        <w:rPr>
          <w:rFonts w:ascii="宋体" w:eastAsia="宋体" w:hAnsi="Calibri" w:cs="Times New Roman" w:hint="eastAsia"/>
          <w:kern w:val="0"/>
          <w:sz w:val="24"/>
          <w:szCs w:val="20"/>
        </w:rPr>
        <w:t>（3）场所责任</w:t>
      </w:r>
    </w:p>
    <w:p w14:paraId="4DD64EE3" w14:textId="77777777" w:rsidR="002970B0" w:rsidRPr="002970B0" w:rsidRDefault="002970B0" w:rsidP="002970B0">
      <w:pPr>
        <w:autoSpaceDE w:val="0"/>
        <w:autoSpaceDN w:val="0"/>
        <w:adjustRightInd w:val="0"/>
        <w:spacing w:line="360" w:lineRule="auto"/>
        <w:ind w:firstLine="420"/>
        <w:jc w:val="left"/>
        <w:rPr>
          <w:rFonts w:ascii="宋体" w:eastAsia="宋体" w:hAnsi="Calibri" w:cs="Times New Roman"/>
          <w:kern w:val="0"/>
          <w:sz w:val="24"/>
          <w:szCs w:val="20"/>
        </w:rPr>
      </w:pPr>
      <w:r w:rsidRPr="002970B0">
        <w:rPr>
          <w:rFonts w:ascii="宋体" w:eastAsia="宋体" w:hAnsi="Calibri" w:cs="Times New Roman" w:hint="eastAsia"/>
          <w:kern w:val="0"/>
          <w:sz w:val="24"/>
          <w:szCs w:val="20"/>
        </w:rPr>
        <w:t>5.6服务期限：1年</w:t>
      </w:r>
    </w:p>
    <w:p w14:paraId="379CCF57" w14:textId="319D4949" w:rsidR="002970B0" w:rsidRDefault="002970B0" w:rsidP="002970B0">
      <w:pPr>
        <w:rPr>
          <w:rFonts w:hint="eastAsia"/>
        </w:rPr>
      </w:pPr>
      <w:r w:rsidRPr="002970B0">
        <w:rPr>
          <w:rFonts w:ascii="Calibri" w:eastAsia="宋体" w:hAnsi="Calibri" w:cs="Times New Roman" w:hint="eastAsia"/>
          <w:szCs w:val="24"/>
        </w:rPr>
        <w:t>5.7</w:t>
      </w:r>
      <w:r w:rsidRPr="002970B0">
        <w:rPr>
          <w:rFonts w:ascii="Calibri" w:eastAsia="宋体" w:hAnsi="Calibri" w:cs="Times New Roman" w:hint="eastAsia"/>
          <w:szCs w:val="24"/>
        </w:rPr>
        <w:t>追溯期</w:t>
      </w:r>
      <w:r w:rsidRPr="002970B0">
        <w:rPr>
          <w:rFonts w:ascii="Calibri" w:eastAsia="宋体" w:hAnsi="Calibri" w:cs="Times New Roman"/>
          <w:szCs w:val="24"/>
        </w:rPr>
        <w:t>：</w:t>
      </w:r>
      <w:r w:rsidRPr="002970B0">
        <w:rPr>
          <w:rFonts w:ascii="Calibri" w:eastAsia="宋体" w:hAnsi="Calibri" w:cs="Times New Roman" w:hint="eastAsia"/>
          <w:szCs w:val="24"/>
        </w:rPr>
        <w:t>追溯期至少</w:t>
      </w:r>
      <w:r w:rsidRPr="002970B0">
        <w:rPr>
          <w:rFonts w:ascii="Calibri" w:eastAsia="宋体" w:hAnsi="Calibri" w:cs="Times New Roman" w:hint="eastAsia"/>
          <w:szCs w:val="24"/>
        </w:rPr>
        <w:t>3</w:t>
      </w:r>
      <w:r w:rsidRPr="002970B0">
        <w:rPr>
          <w:rFonts w:ascii="Calibri" w:eastAsia="宋体" w:hAnsi="Calibri" w:cs="Times New Roman" w:hint="eastAsia"/>
          <w:szCs w:val="24"/>
        </w:rPr>
        <w:t>年（时间</w:t>
      </w:r>
      <w:r w:rsidRPr="002970B0">
        <w:rPr>
          <w:rFonts w:ascii="Calibri" w:eastAsia="宋体" w:hAnsi="Calibri" w:cs="Times New Roman"/>
          <w:szCs w:val="24"/>
        </w:rPr>
        <w:t>越长越好</w:t>
      </w:r>
      <w:r w:rsidRPr="002970B0">
        <w:rPr>
          <w:rFonts w:ascii="Calibri" w:eastAsia="宋体" w:hAnsi="Calibri" w:cs="Times New Roman" w:hint="eastAsia"/>
          <w:szCs w:val="24"/>
        </w:rPr>
        <w:t>）</w:t>
      </w:r>
      <w:r w:rsidRPr="002970B0">
        <w:rPr>
          <w:rFonts w:ascii="Calibri" w:eastAsia="宋体" w:hAnsi="Calibri" w:cs="Times New Roman"/>
          <w:szCs w:val="24"/>
        </w:rPr>
        <w:t>，</w:t>
      </w:r>
      <w:r w:rsidRPr="002970B0">
        <w:rPr>
          <w:rFonts w:ascii="Calibri" w:eastAsia="宋体" w:hAnsi="Calibri" w:cs="Times New Roman" w:hint="eastAsia"/>
          <w:szCs w:val="24"/>
        </w:rPr>
        <w:t>是指从保险期间开始之时起向前追溯的约定</w:t>
      </w:r>
      <w:r w:rsidRPr="002970B0">
        <w:rPr>
          <w:rFonts w:ascii="Calibri" w:eastAsia="宋体" w:hAnsi="Calibri" w:cs="Times New Roman" w:hint="eastAsia"/>
          <w:szCs w:val="24"/>
        </w:rPr>
        <w:lastRenderedPageBreak/>
        <w:t>的期间，在追溯期间内，医疗机构在诊疗活动中，因执业过失造成患者人身损害，依法应承担的民事赔偿责任，</w:t>
      </w:r>
      <w:r w:rsidRPr="002970B0">
        <w:rPr>
          <w:rFonts w:ascii="Calibri" w:eastAsia="宋体" w:hAnsi="Calibri" w:cs="Times New Roman"/>
          <w:szCs w:val="24"/>
        </w:rPr>
        <w:t>由保险人负责赔偿。</w:t>
      </w:r>
    </w:p>
    <w:sectPr w:rsidR="002970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1BBE" w14:textId="77777777" w:rsidR="00715EEA" w:rsidRDefault="00715EEA" w:rsidP="002970B0">
      <w:r>
        <w:separator/>
      </w:r>
    </w:p>
  </w:endnote>
  <w:endnote w:type="continuationSeparator" w:id="0">
    <w:p w14:paraId="786DD328" w14:textId="77777777" w:rsidR="00715EEA" w:rsidRDefault="00715EEA" w:rsidP="0029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E8F90" w14:textId="77777777" w:rsidR="00715EEA" w:rsidRDefault="00715EEA" w:rsidP="002970B0">
      <w:r>
        <w:separator/>
      </w:r>
    </w:p>
  </w:footnote>
  <w:footnote w:type="continuationSeparator" w:id="0">
    <w:p w14:paraId="5E7323F0" w14:textId="77777777" w:rsidR="00715EEA" w:rsidRDefault="00715EEA" w:rsidP="00297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F3"/>
    <w:rsid w:val="002970B0"/>
    <w:rsid w:val="00567346"/>
    <w:rsid w:val="00715EEA"/>
    <w:rsid w:val="008B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857C6"/>
  <w15:chartTrackingRefBased/>
  <w15:docId w15:val="{343DFB91-B567-46F4-9245-8D586F3E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0B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0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70B0"/>
    <w:rPr>
      <w:sz w:val="18"/>
      <w:szCs w:val="18"/>
    </w:rPr>
  </w:style>
  <w:style w:type="paragraph" w:styleId="a5">
    <w:name w:val="footer"/>
    <w:basedOn w:val="a"/>
    <w:link w:val="a6"/>
    <w:uiPriority w:val="99"/>
    <w:unhideWhenUsed/>
    <w:rsid w:val="002970B0"/>
    <w:pPr>
      <w:tabs>
        <w:tab w:val="center" w:pos="4153"/>
        <w:tab w:val="right" w:pos="8306"/>
      </w:tabs>
      <w:snapToGrid w:val="0"/>
      <w:jc w:val="left"/>
    </w:pPr>
    <w:rPr>
      <w:sz w:val="18"/>
      <w:szCs w:val="18"/>
    </w:rPr>
  </w:style>
  <w:style w:type="character" w:customStyle="1" w:styleId="a6">
    <w:name w:val="页脚 字符"/>
    <w:basedOn w:val="a0"/>
    <w:link w:val="a5"/>
    <w:uiPriority w:val="99"/>
    <w:rsid w:val="002970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19E4B-E201-4108-802C-1FD675AE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2</cp:revision>
  <dcterms:created xsi:type="dcterms:W3CDTF">2019-12-06T07:22:00Z</dcterms:created>
  <dcterms:modified xsi:type="dcterms:W3CDTF">2019-12-06T07:23:00Z</dcterms:modified>
</cp:coreProperties>
</file>